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7E" w:rsidRDefault="006836A1">
      <w:pPr>
        <w:spacing w:line="360" w:lineRule="auto"/>
        <w:jc w:val="center"/>
      </w:pPr>
      <w:r>
        <w:rPr>
          <w:b/>
        </w:rPr>
        <w:t>HAZIRSAK BAŞLAYALIM</w:t>
      </w: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369"/>
        <w:gridCol w:w="6095"/>
      </w:tblGrid>
      <w:tr w:rsidR="0099247E">
        <w:tc>
          <w:tcPr>
            <w:tcW w:w="3369" w:type="dxa"/>
          </w:tcPr>
          <w:p w:rsidR="0099247E" w:rsidRDefault="006836A1">
            <w:pPr>
              <w:spacing w:line="360" w:lineRule="auto"/>
            </w:pPr>
            <w:r>
              <w:rPr>
                <w:b/>
              </w:rPr>
              <w:t>Gelişim Alanı:</w:t>
            </w:r>
          </w:p>
        </w:tc>
        <w:tc>
          <w:tcPr>
            <w:tcW w:w="6095" w:type="dxa"/>
          </w:tcPr>
          <w:p w:rsidR="0099247E" w:rsidRDefault="006836A1">
            <w:pPr>
              <w:spacing w:line="276" w:lineRule="auto"/>
            </w:pPr>
            <w:r>
              <w:t>Akademik</w:t>
            </w:r>
          </w:p>
        </w:tc>
      </w:tr>
      <w:tr w:rsidR="0099247E">
        <w:tc>
          <w:tcPr>
            <w:tcW w:w="3369" w:type="dxa"/>
          </w:tcPr>
          <w:p w:rsidR="0099247E" w:rsidRDefault="006836A1">
            <w:pPr>
              <w:spacing w:line="360" w:lineRule="auto"/>
            </w:pPr>
            <w:r>
              <w:rPr>
                <w:b/>
              </w:rPr>
              <w:t>Yeterlik Alanı:</w:t>
            </w:r>
          </w:p>
        </w:tc>
        <w:tc>
          <w:tcPr>
            <w:tcW w:w="6095" w:type="dxa"/>
          </w:tcPr>
          <w:p w:rsidR="0099247E" w:rsidRDefault="006836A1">
            <w:pPr>
              <w:spacing w:line="276" w:lineRule="auto"/>
            </w:pPr>
            <w:r>
              <w:t>Akademik Anlayış ve Sorumluluk</w:t>
            </w:r>
          </w:p>
        </w:tc>
      </w:tr>
      <w:tr w:rsidR="0099247E">
        <w:tc>
          <w:tcPr>
            <w:tcW w:w="3369" w:type="dxa"/>
          </w:tcPr>
          <w:p w:rsidR="0099247E" w:rsidRDefault="006836A1">
            <w:pPr>
              <w:spacing w:line="360" w:lineRule="auto"/>
            </w:pPr>
            <w:r>
              <w:rPr>
                <w:b/>
              </w:rPr>
              <w:t>Kazanım/Hafta:</w:t>
            </w:r>
          </w:p>
        </w:tc>
        <w:tc>
          <w:tcPr>
            <w:tcW w:w="6095" w:type="dxa"/>
          </w:tcPr>
          <w:p w:rsidR="0099247E" w:rsidRDefault="006836A1">
            <w:pPr>
              <w:spacing w:line="276" w:lineRule="auto"/>
            </w:pPr>
            <w:r>
              <w:t>Okula hazırlıklı gelme ile akademik gelişimi arasında bağ kurar. / 3.Hafta</w:t>
            </w:r>
          </w:p>
        </w:tc>
      </w:tr>
      <w:tr w:rsidR="0099247E">
        <w:tc>
          <w:tcPr>
            <w:tcW w:w="3369" w:type="dxa"/>
          </w:tcPr>
          <w:p w:rsidR="0099247E" w:rsidRDefault="006836A1">
            <w:pPr>
              <w:spacing w:line="360" w:lineRule="auto"/>
            </w:pPr>
            <w:r>
              <w:rPr>
                <w:b/>
              </w:rPr>
              <w:t>Sınıf Düzeyi:</w:t>
            </w:r>
          </w:p>
        </w:tc>
        <w:tc>
          <w:tcPr>
            <w:tcW w:w="6095" w:type="dxa"/>
          </w:tcPr>
          <w:p w:rsidR="0099247E" w:rsidRDefault="006836A1">
            <w:pPr>
              <w:spacing w:line="276" w:lineRule="auto"/>
            </w:pPr>
            <w:r>
              <w:t>6.Sınıf</w:t>
            </w:r>
          </w:p>
        </w:tc>
      </w:tr>
      <w:tr w:rsidR="0099247E">
        <w:tc>
          <w:tcPr>
            <w:tcW w:w="3369" w:type="dxa"/>
          </w:tcPr>
          <w:p w:rsidR="0099247E" w:rsidRDefault="006836A1">
            <w:pPr>
              <w:spacing w:line="360" w:lineRule="auto"/>
            </w:pPr>
            <w:r>
              <w:rPr>
                <w:b/>
              </w:rPr>
              <w:t>Süre:</w:t>
            </w:r>
          </w:p>
        </w:tc>
        <w:tc>
          <w:tcPr>
            <w:tcW w:w="6095" w:type="dxa"/>
          </w:tcPr>
          <w:p w:rsidR="0099247E" w:rsidRDefault="006836A1">
            <w:pPr>
              <w:spacing w:line="276" w:lineRule="auto"/>
            </w:pPr>
            <w:r>
              <w:t xml:space="preserve">40 </w:t>
            </w:r>
            <w:proofErr w:type="spellStart"/>
            <w:r>
              <w:t>dk</w:t>
            </w:r>
            <w:proofErr w:type="spellEnd"/>
            <w:r>
              <w:t xml:space="preserve"> (Bir ders saati)</w:t>
            </w:r>
          </w:p>
        </w:tc>
      </w:tr>
      <w:tr w:rsidR="0099247E">
        <w:tc>
          <w:tcPr>
            <w:tcW w:w="3369" w:type="dxa"/>
          </w:tcPr>
          <w:p w:rsidR="0099247E" w:rsidRDefault="006836A1">
            <w:pPr>
              <w:spacing w:line="360" w:lineRule="auto"/>
            </w:pPr>
            <w:r>
              <w:rPr>
                <w:b/>
              </w:rPr>
              <w:t>Araç-Gereçler:</w:t>
            </w:r>
          </w:p>
        </w:tc>
        <w:tc>
          <w:tcPr>
            <w:tcW w:w="6095" w:type="dxa"/>
          </w:tcPr>
          <w:p w:rsidR="0099247E" w:rsidRDefault="006836A1">
            <w:pPr>
              <w:numPr>
                <w:ilvl w:val="0"/>
                <w:numId w:val="1"/>
              </w:numPr>
              <w:spacing w:line="276" w:lineRule="auto"/>
            </w:pPr>
            <w:r>
              <w:t>Etkinlik Bilgi Notu-1</w:t>
            </w:r>
          </w:p>
          <w:p w:rsidR="0099247E" w:rsidRDefault="006836A1">
            <w:pPr>
              <w:numPr>
                <w:ilvl w:val="0"/>
                <w:numId w:val="1"/>
              </w:numPr>
              <w:spacing w:line="276" w:lineRule="auto"/>
            </w:pPr>
            <w:r>
              <w:t>Etkinlik Bilgi Notu-2</w:t>
            </w:r>
          </w:p>
          <w:p w:rsidR="0099247E" w:rsidRDefault="006836A1">
            <w:pPr>
              <w:numPr>
                <w:ilvl w:val="0"/>
                <w:numId w:val="1"/>
              </w:numPr>
              <w:spacing w:line="276" w:lineRule="auto"/>
            </w:pPr>
            <w:r>
              <w:t>Çalışma Yaprağı-1</w:t>
            </w:r>
          </w:p>
          <w:p w:rsidR="0099247E" w:rsidRDefault="006836A1">
            <w:pPr>
              <w:numPr>
                <w:ilvl w:val="0"/>
                <w:numId w:val="1"/>
              </w:numPr>
              <w:spacing w:line="276" w:lineRule="auto"/>
            </w:pPr>
            <w:r>
              <w:t>Fon Kartonu</w:t>
            </w:r>
          </w:p>
        </w:tc>
      </w:tr>
      <w:tr w:rsidR="0099247E">
        <w:tc>
          <w:tcPr>
            <w:tcW w:w="3369" w:type="dxa"/>
          </w:tcPr>
          <w:p w:rsidR="0099247E" w:rsidRDefault="006836A1">
            <w:pPr>
              <w:spacing w:line="360" w:lineRule="auto"/>
            </w:pPr>
            <w:r>
              <w:rPr>
                <w:b/>
              </w:rPr>
              <w:t>Uygulayıcı İçin Ön Hazırlık:</w:t>
            </w:r>
          </w:p>
        </w:tc>
        <w:tc>
          <w:tcPr>
            <w:tcW w:w="6095" w:type="dxa"/>
          </w:tcPr>
          <w:p w:rsidR="0099247E" w:rsidRDefault="006836A1">
            <w:pPr>
              <w:numPr>
                <w:ilvl w:val="0"/>
                <w:numId w:val="2"/>
              </w:numPr>
              <w:spacing w:line="276" w:lineRule="auto"/>
              <w:jc w:val="both"/>
            </w:pPr>
            <w:r>
              <w:t>Etkinlik Bilgi Notu-1 ve Etkinlik Bilgi Notu-2 etkinliği uygulamadan önce okunmalıdır.</w:t>
            </w:r>
          </w:p>
          <w:p w:rsidR="0099247E" w:rsidRDefault="006836A1">
            <w:pPr>
              <w:numPr>
                <w:ilvl w:val="0"/>
                <w:numId w:val="2"/>
              </w:numPr>
              <w:spacing w:line="276" w:lineRule="auto"/>
              <w:jc w:val="both"/>
            </w:pPr>
            <w:r>
              <w:t>Çalışma Yaprağı-1 6 adet olacak şekilde çoğaltılmalıdır.</w:t>
            </w:r>
          </w:p>
        </w:tc>
      </w:tr>
      <w:tr w:rsidR="0099247E">
        <w:tc>
          <w:tcPr>
            <w:tcW w:w="3369" w:type="dxa"/>
          </w:tcPr>
          <w:p w:rsidR="0099247E" w:rsidRDefault="006836A1">
            <w:pPr>
              <w:spacing w:line="360" w:lineRule="auto"/>
            </w:pPr>
            <w:r>
              <w:rPr>
                <w:b/>
              </w:rPr>
              <w:t>Süreç (Uygulama Basamakları):</w:t>
            </w:r>
          </w:p>
        </w:tc>
        <w:tc>
          <w:tcPr>
            <w:tcW w:w="6095" w:type="dxa"/>
          </w:tcPr>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 xml:space="preserve">Uygulayıcı tarafından “Bugün size Nil öğretmen ve sınıfıyla ilgili ufak bir </w:t>
            </w:r>
            <w:r w:rsidR="00CD3283">
              <w:rPr>
                <w:color w:val="000000"/>
              </w:rPr>
              <w:t>hikâye</w:t>
            </w:r>
            <w:r>
              <w:rPr>
                <w:color w:val="000000"/>
              </w:rPr>
              <w:t xml:space="preserve"> okuyacağım” denilerek etkinlik süreci başlatılır.</w:t>
            </w:r>
          </w:p>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 xml:space="preserve">Etkinlik Bilgi Notu-1’deki </w:t>
            </w:r>
            <w:r w:rsidR="00CD3283">
              <w:rPr>
                <w:color w:val="000000"/>
              </w:rPr>
              <w:t>hikâye</w:t>
            </w:r>
            <w:r>
              <w:rPr>
                <w:color w:val="000000"/>
              </w:rPr>
              <w:t xml:space="preserve"> okunur.</w:t>
            </w:r>
          </w:p>
          <w:p w:rsidR="0099247E" w:rsidRDefault="00CD3283">
            <w:pPr>
              <w:numPr>
                <w:ilvl w:val="0"/>
                <w:numId w:val="5"/>
              </w:numPr>
              <w:pBdr>
                <w:top w:val="nil"/>
                <w:left w:val="nil"/>
                <w:bottom w:val="nil"/>
                <w:right w:val="nil"/>
                <w:between w:val="nil"/>
              </w:pBdr>
              <w:spacing w:line="276" w:lineRule="auto"/>
              <w:ind w:left="714" w:hanging="357"/>
              <w:jc w:val="both"/>
              <w:rPr>
                <w:color w:val="000000"/>
              </w:rPr>
            </w:pPr>
            <w:r>
              <w:rPr>
                <w:color w:val="000000"/>
              </w:rPr>
              <w:t>Hikâye</w:t>
            </w:r>
            <w:r w:rsidR="006836A1">
              <w:rPr>
                <w:color w:val="000000"/>
              </w:rPr>
              <w:t xml:space="preserve"> okunduktan sonra sınıf grup oluşturma yöntemlerinden biri kullanılarak 6 gruba ayrılır. Her bir gruba çalışma yaprağı-1’den birer adet dağıtılır ve aşağıdaki yönerge verilir;</w:t>
            </w:r>
          </w:p>
          <w:p w:rsidR="0099247E" w:rsidRDefault="006836A1" w:rsidP="00CD3283">
            <w:pPr>
              <w:pBdr>
                <w:top w:val="nil"/>
                <w:left w:val="nil"/>
                <w:bottom w:val="nil"/>
                <w:right w:val="nil"/>
                <w:between w:val="nil"/>
              </w:pBdr>
              <w:spacing w:line="276" w:lineRule="auto"/>
              <w:ind w:left="714" w:firstLine="28"/>
              <w:jc w:val="both"/>
              <w:rPr>
                <w:color w:val="000000"/>
              </w:rPr>
            </w:pPr>
            <w:r>
              <w:rPr>
                <w:color w:val="000000"/>
              </w:rPr>
              <w:t>“Şimdi her birinizden Nil Öğretmen’in öğrencilerinin vermiş olabileceği cevapları düşünmenizi ve sonra grubunuzdaki arkadaşlarınızla birlikte elinizdeki çalışma yaprağına ortak karar verdiğiniz cevapları yazmanızı istiyorum”</w:t>
            </w:r>
          </w:p>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Gruplar Çalışma Yaprağı-1 üzerinde çalışırken, fon kartonunun üst kısmına “Okula Hazırlıklı Gelmek İçin” yazılarak tahtaya yapıştırılır.</w:t>
            </w:r>
          </w:p>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Gruplar çalışma yapraklarını doldurduktan sonra grup sözcüleri tarafından cevaplar sınıfla paylaşılır. Cevaplardan uygun olanlar uygulayıcı tarafından maddeler halinde fon kartonuna yazılır. Listede eksik olduğu düşünülen kısımlar var ise Etkinlik Bilgi Notu-2’den faydalanılarak uygulayıcı tarafından eklenir. Eklenen maddelerin faydalarına ilişkin bilgiler sınıfla paylaşılır.</w:t>
            </w:r>
          </w:p>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Uygulayıcı tarafından aşağıdaki açıklama yapılarak etkinlik sonlandırılır:</w:t>
            </w:r>
          </w:p>
          <w:p w:rsidR="0099247E" w:rsidRDefault="006836A1">
            <w:pPr>
              <w:numPr>
                <w:ilvl w:val="0"/>
                <w:numId w:val="5"/>
              </w:numPr>
              <w:pBdr>
                <w:top w:val="nil"/>
                <w:left w:val="nil"/>
                <w:bottom w:val="nil"/>
                <w:right w:val="nil"/>
                <w:between w:val="nil"/>
              </w:pBdr>
              <w:spacing w:line="276" w:lineRule="auto"/>
              <w:ind w:left="714" w:hanging="357"/>
              <w:jc w:val="both"/>
              <w:rPr>
                <w:color w:val="000000"/>
              </w:rPr>
            </w:pPr>
            <w:r>
              <w:rPr>
                <w:color w:val="000000"/>
              </w:rPr>
              <w:t xml:space="preserve">“Çocuklar, bugün sizlerle okula hazırlıklı gelmek için neler yapılabileceğini ve bunların bize faydalarını konuştuk. Bugün Nil Öğretmen’in sınıfı </w:t>
            </w:r>
            <w:r>
              <w:rPr>
                <w:color w:val="000000"/>
              </w:rPr>
              <w:lastRenderedPageBreak/>
              <w:t xml:space="preserve">gibi okulumuzun ilk günü değil fakat yarın ve daha sonraki günler okula hazırlıklı gelmenin meyvelerini toplayacağımız ilk günler olacak.” </w:t>
            </w:r>
          </w:p>
        </w:tc>
      </w:tr>
      <w:tr w:rsidR="0099247E">
        <w:tc>
          <w:tcPr>
            <w:tcW w:w="3369" w:type="dxa"/>
          </w:tcPr>
          <w:p w:rsidR="0099247E" w:rsidRDefault="006836A1">
            <w:pPr>
              <w:spacing w:line="360" w:lineRule="auto"/>
            </w:pPr>
            <w:r>
              <w:rPr>
                <w:b/>
              </w:rPr>
              <w:lastRenderedPageBreak/>
              <w:t>Kazanımın Değerlendirilmesi:</w:t>
            </w:r>
          </w:p>
        </w:tc>
        <w:tc>
          <w:tcPr>
            <w:tcW w:w="6095" w:type="dxa"/>
          </w:tcPr>
          <w:p w:rsidR="0099247E" w:rsidRDefault="006836A1">
            <w:pPr>
              <w:numPr>
                <w:ilvl w:val="0"/>
                <w:numId w:val="3"/>
              </w:numPr>
              <w:spacing w:line="276" w:lineRule="auto"/>
              <w:jc w:val="both"/>
            </w:pPr>
            <w:r>
              <w:t xml:space="preserve">Ders sonrasında fon kartonuna yapılan liste sınıf panosuna asılabilir veya A4 </w:t>
            </w:r>
            <w:proofErr w:type="gramStart"/>
            <w:r>
              <w:t>kağıdı</w:t>
            </w:r>
            <w:proofErr w:type="gramEnd"/>
            <w:r>
              <w:t xml:space="preserve"> boyutunda çoğaltılarak öğrencilerden odalarında görünür bir yere asmaları istenebilir.</w:t>
            </w:r>
          </w:p>
        </w:tc>
      </w:tr>
      <w:tr w:rsidR="0099247E">
        <w:tc>
          <w:tcPr>
            <w:tcW w:w="3369" w:type="dxa"/>
          </w:tcPr>
          <w:p w:rsidR="0099247E" w:rsidRDefault="006836A1">
            <w:pPr>
              <w:spacing w:line="360" w:lineRule="auto"/>
            </w:pPr>
            <w:r>
              <w:rPr>
                <w:b/>
              </w:rPr>
              <w:t>Uygulayıcıya Not:</w:t>
            </w:r>
          </w:p>
        </w:tc>
        <w:tc>
          <w:tcPr>
            <w:tcW w:w="6095" w:type="dxa"/>
          </w:tcPr>
          <w:p w:rsidR="0099247E" w:rsidRDefault="006836A1">
            <w:pPr>
              <w:numPr>
                <w:ilvl w:val="0"/>
                <w:numId w:val="4"/>
              </w:numPr>
              <w:spacing w:line="276" w:lineRule="auto"/>
              <w:jc w:val="both"/>
            </w:pPr>
            <w:r>
              <w:t>Grup çalışmalarına kulak verilerek yalnızca ödevlerini yapmak, derste işlenecek konulara çalışmak, konuları tekrar etmek gibi akademik hazırlıklar üzerine konuşuluyorsa, ufak ipuçları ile diğer hazırlıkların da olduğu hatırlatılabilir.</w:t>
            </w:r>
          </w:p>
          <w:p w:rsidR="006836A1" w:rsidRDefault="006836A1" w:rsidP="006836A1">
            <w:pPr>
              <w:pBdr>
                <w:top w:val="nil"/>
                <w:left w:val="nil"/>
                <w:bottom w:val="nil"/>
                <w:right w:val="nil"/>
                <w:between w:val="nil"/>
              </w:pBdr>
              <w:spacing w:line="276" w:lineRule="auto"/>
              <w:ind w:left="720" w:hanging="720"/>
              <w:jc w:val="both"/>
              <w:rPr>
                <w:color w:val="000000"/>
              </w:rPr>
            </w:pPr>
            <w:r>
              <w:rPr>
                <w:color w:val="000000"/>
              </w:rPr>
              <w:t>Özel gereksinimli öğrenciler için;</w:t>
            </w:r>
          </w:p>
          <w:p w:rsidR="006836A1" w:rsidRDefault="006836A1" w:rsidP="006836A1">
            <w:pPr>
              <w:pStyle w:val="ListeParagraf"/>
              <w:numPr>
                <w:ilvl w:val="0"/>
                <w:numId w:val="6"/>
              </w:numPr>
              <w:spacing w:line="276" w:lineRule="auto"/>
              <w:jc w:val="both"/>
            </w:pPr>
            <w:r>
              <w:t>Gruplar oluşturulurken uygun eşleştirme yapılmasına dikkat edilerek akran desteği sağlanabilir.</w:t>
            </w:r>
          </w:p>
          <w:p w:rsidR="006836A1" w:rsidRDefault="006836A1" w:rsidP="006836A1">
            <w:pPr>
              <w:pStyle w:val="ListeParagraf"/>
              <w:numPr>
                <w:ilvl w:val="0"/>
                <w:numId w:val="6"/>
              </w:numPr>
              <w:spacing w:line="276" w:lineRule="auto"/>
              <w:jc w:val="both"/>
            </w:pPr>
            <w:r>
              <w:t>Fon kartonunun tüm öğrenciler tarafından rahatlıkla görülebilmesi için boyutunun büyük olması, karton- kalem renginin kontrast olması ve yazıların büyük boyutlarda yazılmasına dikkat edilerek materyal uyarlaması yapılabilir.</w:t>
            </w:r>
          </w:p>
          <w:p w:rsidR="006836A1" w:rsidRDefault="006836A1" w:rsidP="006836A1">
            <w:pPr>
              <w:pStyle w:val="ListeParagraf"/>
              <w:numPr>
                <w:ilvl w:val="0"/>
                <w:numId w:val="6"/>
              </w:numPr>
              <w:spacing w:line="276" w:lineRule="auto"/>
              <w:jc w:val="both"/>
            </w:pPr>
            <w:r>
              <w:t>Kullanılan ifadeler ve sorulan sorular basitleştirilerek öğrenme içeriği farklılaştırılabilir.</w:t>
            </w:r>
          </w:p>
        </w:tc>
      </w:tr>
      <w:tr w:rsidR="0099247E">
        <w:tc>
          <w:tcPr>
            <w:tcW w:w="3369" w:type="dxa"/>
          </w:tcPr>
          <w:p w:rsidR="0099247E" w:rsidRDefault="006836A1">
            <w:pPr>
              <w:spacing w:line="360" w:lineRule="auto"/>
            </w:pPr>
            <w:r>
              <w:rPr>
                <w:b/>
              </w:rPr>
              <w:t>Etkinliği Geliştiren:</w:t>
            </w:r>
          </w:p>
        </w:tc>
        <w:tc>
          <w:tcPr>
            <w:tcW w:w="6095" w:type="dxa"/>
          </w:tcPr>
          <w:p w:rsidR="0099247E" w:rsidRDefault="006836A1">
            <w:pPr>
              <w:spacing w:line="276" w:lineRule="auto"/>
              <w:jc w:val="both"/>
            </w:pPr>
            <w:r>
              <w:t>Elif Hazır, Etkinlik Düzenleme Kurulu</w:t>
            </w:r>
          </w:p>
        </w:tc>
      </w:tr>
    </w:tbl>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pPr>
        <w:spacing w:line="360" w:lineRule="auto"/>
        <w:jc w:val="center"/>
      </w:pPr>
    </w:p>
    <w:p w:rsidR="0099247E" w:rsidRDefault="0099247E" w:rsidP="00DE29E9">
      <w:pPr>
        <w:spacing w:line="360" w:lineRule="auto"/>
      </w:pPr>
    </w:p>
    <w:p w:rsidR="0099247E" w:rsidRDefault="006836A1">
      <w:pPr>
        <w:spacing w:line="276" w:lineRule="auto"/>
        <w:jc w:val="center"/>
      </w:pPr>
      <w:r>
        <w:rPr>
          <w:b/>
        </w:rPr>
        <w:lastRenderedPageBreak/>
        <w:t>ETKİNLİK BİLGİ NOTU - 1</w:t>
      </w:r>
    </w:p>
    <w:p w:rsidR="0099247E" w:rsidRDefault="0099247E">
      <w:pPr>
        <w:spacing w:line="276" w:lineRule="auto"/>
        <w:jc w:val="center"/>
      </w:pPr>
    </w:p>
    <w:p w:rsidR="0099247E" w:rsidRDefault="006836A1" w:rsidP="00DE29E9">
      <w:pPr>
        <w:pBdr>
          <w:top w:val="nil"/>
          <w:left w:val="nil"/>
          <w:bottom w:val="nil"/>
          <w:right w:val="nil"/>
          <w:between w:val="nil"/>
        </w:pBdr>
        <w:spacing w:line="276" w:lineRule="auto"/>
        <w:jc w:val="both"/>
        <w:rPr>
          <w:color w:val="000000"/>
        </w:rPr>
      </w:pPr>
      <w:bookmarkStart w:id="0" w:name="_GoBack"/>
      <w:bookmarkEnd w:id="0"/>
      <w:r>
        <w:rPr>
          <w:color w:val="000000"/>
        </w:rPr>
        <w:t>Nil öğretmen okulun ilk günü sınıfa girer ve öğrencileriyle tanışır. Tanışma bittikten sonra tahtaya büyük harflerle HAZIRLIK yazar ve öğrencilerine dönerek “Okullarımız bizlerin her alanda gelişmesini amaçlayan ortamlardır. Okullarda kimi zaman bizi kişisel olarak geliştirecek davranışlar, kimi zaman eğitim hayatımızdan en üst düzeyde faydalanmamızı ve başarılı olmamızı sağlayacak davranışlar kazanırız. Eğitim hayatımızdan en üst düzeyde faydalanmamız için en önemli ön koşullarından biri de okula hazırlıklı gelmektir. Hadi şimdi her birimiz okula hazırlıklı gelmek için neler yapabileceğimizi düşünelim. Daha sonra da cevaplarımızı ve eğitim hayatımıza nasıl fayda sağlayacağını sınıfımızla paylaşalım. Böylece yarından itibaren her gün okula hazırlıklı gelerek eğitim hayatımızdan en üst düzeyde faydalanalım.’’ der. Gönüllü öğrenciler sırayla şu cevapları verirler…</w:t>
      </w:r>
    </w:p>
    <w:p w:rsidR="0099247E" w:rsidRDefault="0099247E">
      <w:pPr>
        <w:spacing w:line="276" w:lineRule="auto"/>
        <w:jc w:val="both"/>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6836A1">
      <w:pPr>
        <w:spacing w:line="276" w:lineRule="auto"/>
        <w:jc w:val="center"/>
      </w:pPr>
      <w:r>
        <w:rPr>
          <w:b/>
        </w:rPr>
        <w:t>ETKİNLİK BİLGİ NOTU - 2</w:t>
      </w:r>
    </w:p>
    <w:p w:rsidR="0099247E" w:rsidRDefault="0099247E">
      <w:pPr>
        <w:spacing w:line="276" w:lineRule="auto"/>
        <w:jc w:val="both"/>
      </w:pPr>
    </w:p>
    <w:p w:rsidR="0099247E" w:rsidRDefault="006836A1">
      <w:pPr>
        <w:spacing w:line="276" w:lineRule="auto"/>
        <w:ind w:firstLine="708"/>
        <w:jc w:val="both"/>
      </w:pPr>
      <w:r>
        <w:t>“Okula hazırlıklı gelmek” ifadesi üzerine düşünüldüğünde bu yaş grubundaki öğrencilerin yalnızca derste işlenecek konulara çalışmak ya da ödevlerini tamamlamak gibi akademik hususlara odaklanmaları normaldir. Fakat “okula hazırlıklı gelmek” aynı zamanda uykusunu iyi almış olmak, kahvaltısını yapmış olmak, okula getireceği eşyaları eksiksiz olarak hazırlamak gibi fiziksel hazırlıkları, dikkatini toplamak, eğitsel süreçlere motive olmak gibi psikolojik hazırlıkları da içermektedir. Kimi zaman genel uyarılmışlık halini etkileyen, hava durumuna uygun olmayan kıyafet veya ayakkabı seçimi bile öğrencinin akademik gelişimini olumsuz etkileyebilmektedir. Bu nedenle etkinlik sürecinde “okula hazırlıklı gelmek” ifadesini tek yönlü düşünmemeleri konusunda öğrenciler desteklenmelidir.</w:t>
      </w: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pPr>
      <w:bookmarkStart w:id="1" w:name="_gjdgxs" w:colFirst="0" w:colLast="0"/>
      <w:bookmarkEnd w:id="1"/>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99247E">
      <w:pPr>
        <w:spacing w:line="276" w:lineRule="auto"/>
        <w:jc w:val="center"/>
      </w:pPr>
    </w:p>
    <w:p w:rsidR="0099247E" w:rsidRDefault="006836A1">
      <w:pPr>
        <w:spacing w:line="276" w:lineRule="auto"/>
        <w:jc w:val="center"/>
      </w:pPr>
      <w:r>
        <w:rPr>
          <w:b/>
        </w:rPr>
        <w:lastRenderedPageBreak/>
        <w:t>ÇALIŞMA YAPRAĞI – 1</w:t>
      </w:r>
    </w:p>
    <w:p w:rsidR="0099247E" w:rsidRDefault="0099247E">
      <w:pPr>
        <w:spacing w:line="276" w:lineRule="auto"/>
        <w:jc w:val="center"/>
        <w:rPr>
          <w:color w:val="FF0000"/>
        </w:rPr>
      </w:pPr>
    </w:p>
    <w:p w:rsidR="0099247E" w:rsidRDefault="0099247E">
      <w:pPr>
        <w:spacing w:line="276" w:lineRule="auto"/>
      </w:pPr>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4424"/>
      </w:tblGrid>
      <w:tr w:rsidR="0099247E">
        <w:tc>
          <w:tcPr>
            <w:tcW w:w="4786" w:type="dxa"/>
          </w:tcPr>
          <w:p w:rsidR="0099247E" w:rsidRDefault="006836A1">
            <w:pPr>
              <w:spacing w:line="276" w:lineRule="auto"/>
              <w:jc w:val="center"/>
            </w:pPr>
            <w:r>
              <w:rPr>
                <w:b/>
              </w:rPr>
              <w:t>Okula Hazırlıklı Gelmek İçin Yapılacaklar</w:t>
            </w:r>
          </w:p>
        </w:tc>
        <w:tc>
          <w:tcPr>
            <w:tcW w:w="4424" w:type="dxa"/>
          </w:tcPr>
          <w:p w:rsidR="0099247E" w:rsidRDefault="006836A1">
            <w:pPr>
              <w:spacing w:line="276" w:lineRule="auto"/>
              <w:jc w:val="center"/>
            </w:pPr>
            <w:r>
              <w:rPr>
                <w:b/>
              </w:rPr>
              <w:t>Eğitim Hayatımıza Katkıları</w:t>
            </w: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r w:rsidR="0099247E">
        <w:tc>
          <w:tcPr>
            <w:tcW w:w="4786" w:type="dxa"/>
          </w:tcPr>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p w:rsidR="0099247E" w:rsidRDefault="0099247E">
            <w:pPr>
              <w:spacing w:line="276" w:lineRule="auto"/>
              <w:rPr>
                <w:sz w:val="22"/>
                <w:szCs w:val="22"/>
              </w:rPr>
            </w:pPr>
          </w:p>
        </w:tc>
        <w:tc>
          <w:tcPr>
            <w:tcW w:w="4424" w:type="dxa"/>
          </w:tcPr>
          <w:p w:rsidR="0099247E" w:rsidRDefault="0099247E">
            <w:pPr>
              <w:spacing w:line="276" w:lineRule="auto"/>
              <w:rPr>
                <w:sz w:val="22"/>
                <w:szCs w:val="22"/>
              </w:rPr>
            </w:pPr>
          </w:p>
        </w:tc>
      </w:tr>
    </w:tbl>
    <w:p w:rsidR="0099247E" w:rsidRDefault="0099247E">
      <w:pPr>
        <w:spacing w:line="276" w:lineRule="auto"/>
        <w:rPr>
          <w:sz w:val="22"/>
          <w:szCs w:val="22"/>
        </w:rPr>
      </w:pPr>
    </w:p>
    <w:sectPr w:rsidR="0099247E" w:rsidSect="00CC2BB7">
      <w:pgSz w:w="11906" w:h="16838"/>
      <w:pgMar w:top="851" w:right="1418" w:bottom="1418"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93F"/>
    <w:multiLevelType w:val="multilevel"/>
    <w:tmpl w:val="95C88B48"/>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E769DF"/>
    <w:multiLevelType w:val="multilevel"/>
    <w:tmpl w:val="D10E98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E384DE6"/>
    <w:multiLevelType w:val="multilevel"/>
    <w:tmpl w:val="5B2C367C"/>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DE07E26"/>
    <w:multiLevelType w:val="multilevel"/>
    <w:tmpl w:val="9B3E2D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7393FAC"/>
    <w:multiLevelType w:val="multilevel"/>
    <w:tmpl w:val="E43EE32A"/>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6DE81A69"/>
    <w:multiLevelType w:val="hybridMultilevel"/>
    <w:tmpl w:val="FBB03DEE"/>
    <w:lvl w:ilvl="0" w:tplc="041F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9247E"/>
    <w:rsid w:val="006836A1"/>
    <w:rsid w:val="0099247E"/>
    <w:rsid w:val="00CC2BB7"/>
    <w:rsid w:val="00CD3283"/>
    <w:rsid w:val="00DE29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tr-TR"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B7"/>
  </w:style>
  <w:style w:type="paragraph" w:styleId="Balk1">
    <w:name w:val="heading 1"/>
    <w:basedOn w:val="Normal"/>
    <w:next w:val="Normal"/>
    <w:uiPriority w:val="9"/>
    <w:qFormat/>
    <w:rsid w:val="00CC2BB7"/>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CC2BB7"/>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CC2BB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CC2BB7"/>
    <w:pPr>
      <w:keepNext/>
      <w:keepLines/>
      <w:spacing w:before="240" w:after="40"/>
      <w:outlineLvl w:val="3"/>
    </w:pPr>
    <w:rPr>
      <w:b/>
    </w:rPr>
  </w:style>
  <w:style w:type="paragraph" w:styleId="Balk5">
    <w:name w:val="heading 5"/>
    <w:basedOn w:val="Normal"/>
    <w:next w:val="Normal"/>
    <w:uiPriority w:val="9"/>
    <w:semiHidden/>
    <w:unhideWhenUsed/>
    <w:qFormat/>
    <w:rsid w:val="00CC2BB7"/>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CC2BB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rsid w:val="00CC2BB7"/>
    <w:pPr>
      <w:keepNext/>
      <w:keepLines/>
      <w:spacing w:before="480" w:after="120"/>
    </w:pPr>
    <w:rPr>
      <w:b/>
      <w:sz w:val="72"/>
      <w:szCs w:val="72"/>
    </w:rPr>
  </w:style>
  <w:style w:type="paragraph" w:styleId="AltKonuBal">
    <w:name w:val="Subtitle"/>
    <w:basedOn w:val="Normal"/>
    <w:next w:val="Normal"/>
    <w:uiPriority w:val="11"/>
    <w:qFormat/>
    <w:rsid w:val="00CC2BB7"/>
    <w:pPr>
      <w:keepNext/>
      <w:keepLines/>
      <w:spacing w:before="360" w:after="80"/>
    </w:pPr>
    <w:rPr>
      <w:rFonts w:ascii="Georgia" w:eastAsia="Georgia" w:hAnsi="Georgia" w:cs="Georgia"/>
      <w:i/>
      <w:color w:val="666666"/>
      <w:sz w:val="48"/>
      <w:szCs w:val="48"/>
    </w:rPr>
  </w:style>
  <w:style w:type="table" w:customStyle="1" w:styleId="a">
    <w:basedOn w:val="NormalTablo"/>
    <w:rsid w:val="00CC2BB7"/>
    <w:tblPr>
      <w:tblStyleRowBandSize w:val="1"/>
      <w:tblStyleColBandSize w:val="1"/>
      <w:tblInd w:w="0" w:type="dxa"/>
      <w:tblCellMar>
        <w:top w:w="0" w:type="dxa"/>
        <w:left w:w="108" w:type="dxa"/>
        <w:bottom w:w="0" w:type="dxa"/>
        <w:right w:w="108" w:type="dxa"/>
      </w:tblCellMar>
    </w:tblPr>
  </w:style>
  <w:style w:type="table" w:customStyle="1" w:styleId="a0">
    <w:basedOn w:val="NormalTablo"/>
    <w:rsid w:val="00CC2BB7"/>
    <w:tblPr>
      <w:tblStyleRowBandSize w:val="1"/>
      <w:tblStyleColBandSize w:val="1"/>
      <w:tblInd w:w="0" w:type="dxa"/>
      <w:tblCellMar>
        <w:top w:w="0" w:type="dxa"/>
        <w:left w:w="108" w:type="dxa"/>
        <w:bottom w:w="0" w:type="dxa"/>
        <w:right w:w="108" w:type="dxa"/>
      </w:tblCellMar>
    </w:tblPr>
  </w:style>
  <w:style w:type="paragraph" w:styleId="ListeParagraf">
    <w:name w:val="List Paragraph"/>
    <w:basedOn w:val="Normal"/>
    <w:uiPriority w:val="34"/>
    <w:qFormat/>
    <w:rsid w:val="006836A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dc:creator>
  <cp:lastModifiedBy>ASLIHAN</cp:lastModifiedBy>
  <cp:revision>2</cp:revision>
  <dcterms:created xsi:type="dcterms:W3CDTF">2020-11-03T15:10:00Z</dcterms:created>
  <dcterms:modified xsi:type="dcterms:W3CDTF">2020-11-03T15:10:00Z</dcterms:modified>
</cp:coreProperties>
</file>